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6A87" w:rsidRPr="000038FC" w:rsidRDefault="00E26A87">
      <w:pPr>
        <w:spacing w:after="0" w:line="480" w:lineRule="auto"/>
        <w:jc w:val="center"/>
        <w:rPr>
          <w:rFonts w:ascii="Times New Roman" w:eastAsia="Times New Roman" w:hAnsi="Times New Roman"/>
          <w:b/>
          <w:bCs/>
          <w:color w:val="000000"/>
          <w:sz w:val="24"/>
          <w:szCs w:val="24"/>
        </w:rPr>
      </w:pPr>
    </w:p>
    <w:p w:rsidR="00E26A87" w:rsidRPr="000038FC" w:rsidRDefault="00E26A87">
      <w:pPr>
        <w:spacing w:after="0" w:line="480" w:lineRule="auto"/>
        <w:jc w:val="center"/>
        <w:rPr>
          <w:rFonts w:ascii="Times New Roman" w:eastAsia="Times New Roman" w:hAnsi="Times New Roman"/>
          <w:b/>
          <w:bCs/>
          <w:color w:val="000000"/>
          <w:sz w:val="24"/>
          <w:szCs w:val="24"/>
        </w:rPr>
      </w:pPr>
    </w:p>
    <w:p w:rsidR="00E26A87" w:rsidRPr="000038FC" w:rsidRDefault="00E26A87">
      <w:pPr>
        <w:spacing w:after="0" w:line="480" w:lineRule="auto"/>
        <w:jc w:val="center"/>
        <w:rPr>
          <w:rFonts w:ascii="Times New Roman" w:eastAsia="Times New Roman" w:hAnsi="Times New Roman"/>
          <w:b/>
          <w:bCs/>
          <w:color w:val="000000"/>
          <w:sz w:val="24"/>
          <w:szCs w:val="24"/>
        </w:rPr>
      </w:pPr>
    </w:p>
    <w:p w:rsidR="00E26A87" w:rsidRPr="000038FC" w:rsidRDefault="000038FC">
      <w:pPr>
        <w:spacing w:after="0" w:line="480" w:lineRule="auto"/>
        <w:jc w:val="center"/>
        <w:rPr>
          <w:rFonts w:ascii="Times New Roman" w:eastAsia="Times New Roman" w:hAnsi="Times New Roman"/>
          <w:b/>
          <w:bCs/>
          <w:color w:val="000000"/>
          <w:sz w:val="24"/>
          <w:szCs w:val="24"/>
        </w:rPr>
      </w:pPr>
      <w:r w:rsidRPr="000038FC">
        <w:rPr>
          <w:rFonts w:ascii="Times New Roman" w:eastAsia="Times New Roman" w:hAnsi="Times New Roman"/>
          <w:b/>
          <w:bCs/>
          <w:color w:val="000000"/>
          <w:sz w:val="24"/>
          <w:szCs w:val="24"/>
        </w:rPr>
        <w:t xml:space="preserve">David Thompson v Hearther Hebdon </w:t>
      </w:r>
    </w:p>
    <w:p w:rsidR="00E26A87" w:rsidRPr="000038FC" w:rsidRDefault="00E26A87">
      <w:pPr>
        <w:spacing w:after="0" w:line="480" w:lineRule="auto"/>
        <w:jc w:val="center"/>
        <w:rPr>
          <w:rFonts w:ascii="Times New Roman" w:eastAsia="Times New Roman" w:hAnsi="Times New Roman"/>
          <w:color w:val="000000"/>
          <w:sz w:val="24"/>
          <w:szCs w:val="24"/>
        </w:rPr>
      </w:pPr>
    </w:p>
    <w:p w:rsidR="00E26A87" w:rsidRPr="000038FC" w:rsidRDefault="00E26A87">
      <w:pPr>
        <w:spacing w:after="0" w:line="480" w:lineRule="auto"/>
        <w:jc w:val="center"/>
        <w:rPr>
          <w:rFonts w:ascii="Times New Roman" w:eastAsia="Times New Roman" w:hAnsi="Times New Roman"/>
          <w:color w:val="000000"/>
          <w:sz w:val="24"/>
          <w:szCs w:val="24"/>
        </w:rPr>
      </w:pPr>
    </w:p>
    <w:p w:rsidR="00E26A87" w:rsidRPr="000038FC" w:rsidRDefault="000038FC">
      <w:pPr>
        <w:spacing w:after="0" w:line="480" w:lineRule="auto"/>
        <w:jc w:val="center"/>
        <w:rPr>
          <w:rFonts w:ascii="Times New Roman" w:eastAsia="Times New Roman" w:hAnsi="Times New Roman"/>
          <w:color w:val="000000"/>
          <w:sz w:val="24"/>
          <w:szCs w:val="24"/>
        </w:rPr>
      </w:pPr>
      <w:r w:rsidRPr="000038FC">
        <w:rPr>
          <w:rFonts w:ascii="Times New Roman" w:eastAsia="Times New Roman" w:hAnsi="Times New Roman"/>
          <w:color w:val="000000"/>
          <w:sz w:val="24"/>
          <w:szCs w:val="24"/>
        </w:rPr>
        <w:t>Student’s Name:</w:t>
      </w:r>
    </w:p>
    <w:p w:rsidR="00E26A87" w:rsidRPr="000038FC" w:rsidRDefault="000038FC">
      <w:pPr>
        <w:spacing w:after="0" w:line="480" w:lineRule="auto"/>
        <w:jc w:val="center"/>
        <w:rPr>
          <w:rFonts w:ascii="Times New Roman" w:eastAsia="Times New Roman" w:hAnsi="Times New Roman"/>
          <w:color w:val="000000"/>
          <w:sz w:val="24"/>
          <w:szCs w:val="24"/>
        </w:rPr>
      </w:pPr>
      <w:r w:rsidRPr="000038FC">
        <w:rPr>
          <w:rFonts w:ascii="Times New Roman" w:eastAsia="Times New Roman" w:hAnsi="Times New Roman"/>
          <w:color w:val="000000"/>
          <w:sz w:val="24"/>
          <w:szCs w:val="24"/>
        </w:rPr>
        <w:t>Institution:</w:t>
      </w:r>
    </w:p>
    <w:p w:rsidR="00E26A87" w:rsidRPr="000038FC" w:rsidRDefault="000038FC">
      <w:pPr>
        <w:spacing w:after="0" w:line="480" w:lineRule="auto"/>
        <w:jc w:val="center"/>
        <w:rPr>
          <w:rFonts w:ascii="Times New Roman" w:eastAsia="Times New Roman" w:hAnsi="Times New Roman"/>
          <w:color w:val="000000"/>
          <w:sz w:val="24"/>
          <w:szCs w:val="24"/>
        </w:rPr>
      </w:pPr>
      <w:r w:rsidRPr="000038FC">
        <w:rPr>
          <w:rFonts w:ascii="Times New Roman" w:eastAsia="Times New Roman" w:hAnsi="Times New Roman"/>
          <w:color w:val="000000"/>
          <w:sz w:val="24"/>
          <w:szCs w:val="24"/>
        </w:rPr>
        <w:t>Course:</w:t>
      </w:r>
    </w:p>
    <w:p w:rsidR="00E26A87" w:rsidRPr="000038FC" w:rsidRDefault="000038FC">
      <w:pPr>
        <w:spacing w:after="0" w:line="480" w:lineRule="auto"/>
        <w:jc w:val="center"/>
        <w:rPr>
          <w:rFonts w:ascii="Times New Roman" w:eastAsia="Times New Roman" w:hAnsi="Times New Roman"/>
          <w:color w:val="000000"/>
          <w:sz w:val="24"/>
          <w:szCs w:val="24"/>
        </w:rPr>
      </w:pPr>
      <w:r w:rsidRPr="000038FC">
        <w:rPr>
          <w:rFonts w:ascii="Times New Roman" w:eastAsia="Times New Roman" w:hAnsi="Times New Roman"/>
          <w:color w:val="000000"/>
          <w:sz w:val="24"/>
          <w:szCs w:val="24"/>
        </w:rPr>
        <w:t>Professor’s Name:</w:t>
      </w:r>
    </w:p>
    <w:p w:rsidR="00E26A87" w:rsidRPr="000038FC" w:rsidRDefault="000038FC">
      <w:pPr>
        <w:spacing w:after="0" w:line="480" w:lineRule="auto"/>
        <w:jc w:val="center"/>
        <w:rPr>
          <w:rFonts w:ascii="Times New Roman" w:eastAsia="Times New Roman" w:hAnsi="Times New Roman"/>
          <w:color w:val="000000"/>
          <w:sz w:val="24"/>
          <w:szCs w:val="24"/>
        </w:rPr>
      </w:pPr>
      <w:r w:rsidRPr="000038FC">
        <w:rPr>
          <w:rFonts w:ascii="Times New Roman" w:eastAsia="Times New Roman" w:hAnsi="Times New Roman"/>
          <w:color w:val="000000"/>
          <w:sz w:val="24"/>
          <w:szCs w:val="24"/>
        </w:rPr>
        <w:t>Date:</w:t>
      </w:r>
    </w:p>
    <w:p w:rsidR="00E26A87" w:rsidRPr="000038FC" w:rsidRDefault="00E26A87">
      <w:pPr>
        <w:spacing w:line="480" w:lineRule="auto"/>
        <w:rPr>
          <w:rFonts w:ascii="Times New Roman" w:hAnsi="Times New Roman"/>
          <w:sz w:val="24"/>
          <w:szCs w:val="24"/>
        </w:rPr>
      </w:pPr>
    </w:p>
    <w:p w:rsidR="00E26A87" w:rsidRPr="000038FC" w:rsidRDefault="00E26A87">
      <w:pPr>
        <w:spacing w:after="0" w:line="480" w:lineRule="auto"/>
        <w:rPr>
          <w:rFonts w:ascii="Times New Roman" w:hAnsi="Times New Roman"/>
          <w:sz w:val="24"/>
          <w:szCs w:val="24"/>
        </w:rPr>
      </w:pPr>
    </w:p>
    <w:p w:rsidR="00E26A87" w:rsidRPr="000038FC" w:rsidRDefault="00E26A87">
      <w:pPr>
        <w:spacing w:after="0" w:line="480" w:lineRule="auto"/>
        <w:rPr>
          <w:rFonts w:ascii="Times New Roman" w:hAnsi="Times New Roman"/>
          <w:sz w:val="24"/>
          <w:szCs w:val="24"/>
        </w:rPr>
      </w:pPr>
    </w:p>
    <w:p w:rsidR="00E26A87" w:rsidRPr="000038FC" w:rsidRDefault="00E26A87">
      <w:pPr>
        <w:spacing w:after="0" w:line="480" w:lineRule="auto"/>
        <w:rPr>
          <w:rFonts w:ascii="Times New Roman" w:hAnsi="Times New Roman"/>
          <w:sz w:val="24"/>
          <w:szCs w:val="24"/>
        </w:rPr>
      </w:pPr>
    </w:p>
    <w:p w:rsidR="00E26A87" w:rsidRPr="000038FC" w:rsidRDefault="00E26A87">
      <w:pPr>
        <w:spacing w:after="0" w:line="480" w:lineRule="auto"/>
        <w:rPr>
          <w:rFonts w:ascii="Times New Roman" w:hAnsi="Times New Roman"/>
          <w:sz w:val="24"/>
          <w:szCs w:val="24"/>
        </w:rPr>
      </w:pPr>
    </w:p>
    <w:p w:rsidR="00E26A87" w:rsidRPr="000038FC" w:rsidRDefault="00E26A87">
      <w:pPr>
        <w:spacing w:after="0" w:line="480" w:lineRule="auto"/>
        <w:rPr>
          <w:rFonts w:ascii="Times New Roman" w:hAnsi="Times New Roman"/>
          <w:sz w:val="24"/>
          <w:szCs w:val="24"/>
        </w:rPr>
      </w:pPr>
    </w:p>
    <w:p w:rsidR="00E26A87" w:rsidRPr="000038FC" w:rsidRDefault="00E26A87">
      <w:pPr>
        <w:spacing w:after="0" w:line="480" w:lineRule="auto"/>
        <w:rPr>
          <w:rFonts w:ascii="Times New Roman" w:hAnsi="Times New Roman"/>
          <w:sz w:val="24"/>
          <w:szCs w:val="24"/>
        </w:rPr>
      </w:pPr>
    </w:p>
    <w:p w:rsidR="00E26A87" w:rsidRPr="000038FC" w:rsidRDefault="00E26A87">
      <w:pPr>
        <w:spacing w:after="0" w:line="480" w:lineRule="auto"/>
        <w:rPr>
          <w:rFonts w:ascii="Times New Roman" w:hAnsi="Times New Roman"/>
          <w:sz w:val="24"/>
          <w:szCs w:val="24"/>
        </w:rPr>
      </w:pPr>
    </w:p>
    <w:p w:rsidR="00E26A87" w:rsidRPr="000038FC" w:rsidRDefault="00E26A87">
      <w:pPr>
        <w:spacing w:after="0" w:line="480" w:lineRule="auto"/>
        <w:rPr>
          <w:rFonts w:ascii="Times New Roman" w:hAnsi="Times New Roman"/>
          <w:sz w:val="24"/>
          <w:szCs w:val="24"/>
        </w:rPr>
      </w:pPr>
    </w:p>
    <w:p w:rsidR="00E26A87" w:rsidRPr="000038FC" w:rsidRDefault="00E26A87">
      <w:pPr>
        <w:spacing w:after="0" w:line="480" w:lineRule="auto"/>
        <w:rPr>
          <w:rFonts w:ascii="Times New Roman" w:hAnsi="Times New Roman"/>
          <w:sz w:val="24"/>
          <w:szCs w:val="24"/>
        </w:rPr>
      </w:pPr>
    </w:p>
    <w:p w:rsidR="00E26A87" w:rsidRPr="000038FC" w:rsidRDefault="00E26A87">
      <w:pPr>
        <w:spacing w:after="0" w:line="480" w:lineRule="auto"/>
        <w:rPr>
          <w:rFonts w:ascii="Times New Roman" w:hAnsi="Times New Roman"/>
          <w:sz w:val="24"/>
          <w:szCs w:val="24"/>
        </w:rPr>
      </w:pPr>
    </w:p>
    <w:p w:rsidR="00E26A87" w:rsidRPr="000038FC" w:rsidRDefault="00E26A87">
      <w:pPr>
        <w:spacing w:after="0" w:line="480" w:lineRule="auto"/>
        <w:rPr>
          <w:rFonts w:ascii="Times New Roman" w:hAnsi="Times New Roman"/>
          <w:sz w:val="24"/>
          <w:szCs w:val="24"/>
        </w:rPr>
      </w:pPr>
    </w:p>
    <w:p w:rsidR="00E26A87" w:rsidRPr="000038FC" w:rsidRDefault="000038FC">
      <w:pPr>
        <w:spacing w:line="480" w:lineRule="auto"/>
        <w:rPr>
          <w:rFonts w:ascii="Times New Roman" w:hAnsi="Times New Roman"/>
          <w:sz w:val="24"/>
          <w:szCs w:val="24"/>
        </w:rPr>
      </w:pPr>
      <w:r w:rsidRPr="000038FC">
        <w:rPr>
          <w:rFonts w:ascii="Times New Roman" w:hAnsi="Times New Roman"/>
          <w:sz w:val="24"/>
          <w:szCs w:val="24"/>
        </w:rPr>
        <w:lastRenderedPageBreak/>
        <w:t>SUPREME COURT OF THE UNITED STATES</w:t>
      </w:r>
    </w:p>
    <w:p w:rsidR="00E26A87" w:rsidRPr="000038FC" w:rsidRDefault="000038FC">
      <w:pPr>
        <w:spacing w:line="480" w:lineRule="auto"/>
        <w:rPr>
          <w:rFonts w:ascii="Times New Roman" w:hAnsi="Times New Roman"/>
          <w:sz w:val="24"/>
          <w:szCs w:val="24"/>
        </w:rPr>
      </w:pPr>
      <w:r w:rsidRPr="000038FC">
        <w:rPr>
          <w:rFonts w:ascii="Times New Roman" w:hAnsi="Times New Roman"/>
          <w:sz w:val="24"/>
          <w:szCs w:val="24"/>
        </w:rPr>
        <w:t>DAVID THOMPSON, ET AL VS HEATHER HEBDON EXECUTIVE DIRECTOR OF THE ALASKA PUBLIC OFFICES COMMISSION ET AL.</w:t>
      </w:r>
    </w:p>
    <w:p w:rsidR="00E26A87" w:rsidRPr="000038FC" w:rsidRDefault="000038FC">
      <w:pPr>
        <w:spacing w:line="480" w:lineRule="auto"/>
        <w:rPr>
          <w:rFonts w:ascii="Times New Roman" w:hAnsi="Times New Roman"/>
          <w:sz w:val="24"/>
          <w:szCs w:val="24"/>
        </w:rPr>
      </w:pPr>
      <w:r w:rsidRPr="000038FC">
        <w:rPr>
          <w:rFonts w:ascii="Times New Roman" w:hAnsi="Times New Roman"/>
          <w:sz w:val="24"/>
          <w:szCs w:val="24"/>
        </w:rPr>
        <w:t>According to the law in Alaska, the number of contributions one can make to an individual or group for political office is limited;</w:t>
      </w:r>
      <w:r w:rsidRPr="000038FC">
        <w:rPr>
          <w:rFonts w:ascii="Times New Roman" w:hAnsi="Times New Roman"/>
          <w:sz w:val="24"/>
          <w:szCs w:val="24"/>
        </w:rPr>
        <w:t xml:space="preserve"> the limitation is $500 per year. Alaska Stat. 15.13.070(b)(1)(2018). As a residence of Alaska, David Thompson decided to sue</w:t>
      </w:r>
      <w:r w:rsidRPr="000038FC">
        <w:rPr>
          <w:rFonts w:ascii="Times New Roman" w:hAnsi="Times New Roman"/>
          <w:sz w:val="24"/>
          <w:szCs w:val="24"/>
        </w:rPr>
        <w:t xml:space="preserve"> members of public offices commission in Alaska stating that the law violates</w:t>
      </w:r>
      <w:r w:rsidRPr="000038FC">
        <w:rPr>
          <w:rFonts w:ascii="Times New Roman" w:hAnsi="Times New Roman"/>
          <w:sz w:val="24"/>
          <w:szCs w:val="24"/>
        </w:rPr>
        <w:t xml:space="preserve"> the First amendment (reference).</w:t>
      </w:r>
    </w:p>
    <w:p w:rsidR="00E26A87" w:rsidRPr="000038FC" w:rsidRDefault="000038FC">
      <w:pPr>
        <w:spacing w:line="480" w:lineRule="auto"/>
        <w:rPr>
          <w:rFonts w:ascii="Times New Roman" w:hAnsi="Times New Roman"/>
          <w:sz w:val="24"/>
          <w:szCs w:val="24"/>
        </w:rPr>
      </w:pPr>
      <w:r w:rsidRPr="000038FC">
        <w:rPr>
          <w:rFonts w:ascii="Times New Roman" w:hAnsi="Times New Roman"/>
          <w:sz w:val="24"/>
          <w:szCs w:val="24"/>
        </w:rPr>
        <w:t xml:space="preserve">          In November 25, 2019,the District court made a decision to uphold the law citing that the contribution limit, furthered a sufficient imp</w:t>
      </w:r>
      <w:r w:rsidRPr="000038FC">
        <w:rPr>
          <w:rFonts w:ascii="Times New Roman" w:hAnsi="Times New Roman"/>
          <w:sz w:val="24"/>
          <w:szCs w:val="24"/>
        </w:rPr>
        <w:t>ortant state interest Thompson v Nith.0909 F. 3d. 1027(2018). The type of interest that justifies a First Amended intrusion on political contributions to combating 'actual quid pro quo corruption or its appearance '. The court needed sufficient evidence to</w:t>
      </w:r>
      <w:r w:rsidRPr="000038FC">
        <w:rPr>
          <w:rFonts w:ascii="Times New Roman" w:hAnsi="Times New Roman"/>
          <w:sz w:val="24"/>
          <w:szCs w:val="24"/>
        </w:rPr>
        <w:t xml:space="preserve"> justify a legitimate state interest which is low on this case. The court concluded that the individual to candidate contribution limit focuses</w:t>
      </w:r>
      <w:r w:rsidRPr="000038FC">
        <w:rPr>
          <w:rFonts w:ascii="Times New Roman" w:hAnsi="Times New Roman"/>
          <w:sz w:val="24"/>
          <w:szCs w:val="24"/>
        </w:rPr>
        <w:t xml:space="preserve"> narrowly on the state's interest leaves the contributor fee to affiliate the candidate.</w:t>
      </w:r>
    </w:p>
    <w:p w:rsidR="00E26A87" w:rsidRPr="000038FC" w:rsidRDefault="000038FC">
      <w:pPr>
        <w:spacing w:line="480" w:lineRule="auto"/>
        <w:rPr>
          <w:rFonts w:ascii="Times New Roman" w:hAnsi="Times New Roman"/>
          <w:sz w:val="24"/>
          <w:szCs w:val="24"/>
        </w:rPr>
      </w:pPr>
      <w:r w:rsidRPr="000038FC">
        <w:rPr>
          <w:rFonts w:ascii="Times New Roman" w:hAnsi="Times New Roman"/>
          <w:sz w:val="24"/>
          <w:szCs w:val="24"/>
        </w:rPr>
        <w:t xml:space="preserve">2. </w:t>
      </w:r>
      <w:r>
        <w:rPr>
          <w:rFonts w:ascii="Times New Roman" w:hAnsi="Times New Roman"/>
          <w:sz w:val="24"/>
          <w:szCs w:val="24"/>
        </w:rPr>
        <w:tab/>
      </w:r>
      <w:r w:rsidRPr="000038FC">
        <w:rPr>
          <w:rFonts w:ascii="Times New Roman" w:hAnsi="Times New Roman"/>
          <w:sz w:val="24"/>
          <w:szCs w:val="24"/>
        </w:rPr>
        <w:t>This is how general impression of information has been presented in the above facts. The above statement may or may not be the best of the many decisions made by the district court on the case of David Thompson v Heather Hebdon, but it combines the insi</w:t>
      </w:r>
      <w:r w:rsidRPr="000038FC">
        <w:rPr>
          <w:rFonts w:ascii="Times New Roman" w:hAnsi="Times New Roman"/>
          <w:sz w:val="24"/>
          <w:szCs w:val="24"/>
        </w:rPr>
        <w:t>ght with innovation and deserves careful and sustained consideration. The statement was not probably was not the law before. It may not be the general law but it may be in the process of becoming so.</w:t>
      </w:r>
    </w:p>
    <w:p w:rsidR="00E26A87" w:rsidRPr="000038FC" w:rsidRDefault="000038FC">
      <w:pPr>
        <w:spacing w:line="480" w:lineRule="auto"/>
        <w:rPr>
          <w:rFonts w:ascii="Times New Roman" w:hAnsi="Times New Roman"/>
          <w:sz w:val="24"/>
          <w:szCs w:val="24"/>
        </w:rPr>
      </w:pPr>
      <w:r w:rsidRPr="000038FC">
        <w:rPr>
          <w:rFonts w:ascii="Times New Roman" w:hAnsi="Times New Roman"/>
          <w:sz w:val="24"/>
          <w:szCs w:val="24"/>
        </w:rPr>
        <w:t>3.</w:t>
      </w:r>
      <w:r>
        <w:rPr>
          <w:rFonts w:ascii="Times New Roman" w:hAnsi="Times New Roman"/>
          <w:sz w:val="24"/>
          <w:szCs w:val="24"/>
        </w:rPr>
        <w:tab/>
      </w:r>
      <w:r w:rsidRPr="000038FC">
        <w:rPr>
          <w:rFonts w:ascii="Times New Roman" w:hAnsi="Times New Roman"/>
          <w:sz w:val="24"/>
          <w:szCs w:val="24"/>
        </w:rPr>
        <w:t xml:space="preserve"> The presentation differ from the way non legal inform</w:t>
      </w:r>
      <w:r w:rsidRPr="000038FC">
        <w:rPr>
          <w:rFonts w:ascii="Times New Roman" w:hAnsi="Times New Roman"/>
          <w:sz w:val="24"/>
          <w:szCs w:val="24"/>
        </w:rPr>
        <w:t xml:space="preserve">ation is presented in the following manner. A good presentation brief will include a summary of the pertinent facts and legal points </w:t>
      </w:r>
      <w:r w:rsidRPr="000038FC">
        <w:rPr>
          <w:rFonts w:ascii="Times New Roman" w:hAnsi="Times New Roman"/>
          <w:sz w:val="24"/>
          <w:szCs w:val="24"/>
        </w:rPr>
        <w:lastRenderedPageBreak/>
        <w:t xml:space="preserve">raised in the case. It will show the nature of the litigation, who sued whom, based on what occurrences, and what happened </w:t>
      </w:r>
      <w:r w:rsidRPr="000038FC">
        <w:rPr>
          <w:rFonts w:ascii="Times New Roman" w:hAnsi="Times New Roman"/>
          <w:sz w:val="24"/>
          <w:szCs w:val="24"/>
        </w:rPr>
        <w:t>in the lower court/s.</w:t>
      </w:r>
    </w:p>
    <w:p w:rsidR="00E26A87" w:rsidRPr="000038FC" w:rsidRDefault="000038FC">
      <w:pPr>
        <w:spacing w:line="480" w:lineRule="auto"/>
        <w:rPr>
          <w:rFonts w:ascii="Times New Roman" w:hAnsi="Times New Roman"/>
          <w:sz w:val="24"/>
          <w:szCs w:val="24"/>
        </w:rPr>
      </w:pPr>
      <w:r w:rsidRPr="000038FC">
        <w:rPr>
          <w:rFonts w:ascii="Times New Roman" w:hAnsi="Times New Roman"/>
          <w:sz w:val="24"/>
          <w:szCs w:val="24"/>
        </w:rPr>
        <w:t>The facts are often conveniently summarized at the beginning of the court’s published opinion. Sometimes, the best statement of the facts will be found in a dissenting or concurring opinion this is how it differ from non legal inform</w:t>
      </w:r>
      <w:r w:rsidRPr="000038FC">
        <w:rPr>
          <w:rFonts w:ascii="Times New Roman" w:hAnsi="Times New Roman"/>
          <w:sz w:val="24"/>
          <w:szCs w:val="24"/>
        </w:rPr>
        <w:t>ation presentation</w:t>
      </w:r>
      <w:r w:rsidRPr="000038FC">
        <w:rPr>
          <w:rFonts w:ascii="Times New Roman" w:hAnsi="Times New Roman"/>
          <w:sz w:val="24"/>
          <w:szCs w:val="24"/>
        </w:rPr>
        <w:t>.</w:t>
      </w:r>
    </w:p>
    <w:p w:rsidR="00E26A87" w:rsidRPr="000038FC" w:rsidRDefault="000038FC">
      <w:pPr>
        <w:spacing w:line="480" w:lineRule="auto"/>
        <w:rPr>
          <w:rFonts w:ascii="Times New Roman" w:hAnsi="Times New Roman"/>
          <w:sz w:val="24"/>
          <w:szCs w:val="24"/>
        </w:rPr>
      </w:pPr>
      <w:r w:rsidRPr="000038FC">
        <w:rPr>
          <w:rFonts w:ascii="Times New Roman" w:hAnsi="Times New Roman"/>
          <w:sz w:val="24"/>
          <w:szCs w:val="24"/>
        </w:rPr>
        <w:t xml:space="preserve"> </w:t>
      </w:r>
    </w:p>
    <w:p w:rsidR="00E26A87" w:rsidRPr="000038FC" w:rsidRDefault="00E26A87">
      <w:pPr>
        <w:spacing w:line="480" w:lineRule="auto"/>
        <w:rPr>
          <w:rFonts w:ascii="Times New Roman" w:hAnsi="Times New Roman"/>
          <w:sz w:val="24"/>
          <w:szCs w:val="24"/>
        </w:rPr>
      </w:pPr>
    </w:p>
    <w:p w:rsidR="00E26A87" w:rsidRPr="000038FC" w:rsidRDefault="00E26A87">
      <w:pPr>
        <w:spacing w:line="480" w:lineRule="auto"/>
        <w:rPr>
          <w:rFonts w:ascii="Times New Roman" w:hAnsi="Times New Roman"/>
          <w:sz w:val="24"/>
          <w:szCs w:val="24"/>
        </w:rPr>
      </w:pPr>
    </w:p>
    <w:p w:rsidR="00E26A87" w:rsidRPr="000038FC" w:rsidRDefault="00E26A87">
      <w:pPr>
        <w:spacing w:line="480" w:lineRule="auto"/>
        <w:rPr>
          <w:rFonts w:ascii="Times New Roman" w:hAnsi="Times New Roman"/>
          <w:sz w:val="24"/>
          <w:szCs w:val="24"/>
        </w:rPr>
      </w:pPr>
    </w:p>
    <w:p w:rsidR="00E26A87" w:rsidRPr="000038FC" w:rsidRDefault="00E26A87">
      <w:pPr>
        <w:spacing w:line="480" w:lineRule="auto"/>
        <w:rPr>
          <w:rFonts w:ascii="Times New Roman" w:hAnsi="Times New Roman"/>
          <w:sz w:val="24"/>
          <w:szCs w:val="24"/>
        </w:rPr>
      </w:pPr>
    </w:p>
    <w:p w:rsidR="00E26A87" w:rsidRPr="000038FC" w:rsidRDefault="00E26A87">
      <w:pPr>
        <w:spacing w:line="480" w:lineRule="auto"/>
        <w:rPr>
          <w:rFonts w:ascii="Times New Roman" w:hAnsi="Times New Roman"/>
          <w:sz w:val="24"/>
          <w:szCs w:val="24"/>
        </w:rPr>
      </w:pPr>
    </w:p>
    <w:p w:rsidR="00E26A87" w:rsidRPr="000038FC" w:rsidRDefault="00E26A87">
      <w:pPr>
        <w:spacing w:line="480" w:lineRule="auto"/>
        <w:rPr>
          <w:rFonts w:ascii="Times New Roman" w:hAnsi="Times New Roman"/>
          <w:sz w:val="24"/>
          <w:szCs w:val="24"/>
        </w:rPr>
      </w:pPr>
    </w:p>
    <w:p w:rsidR="00E26A87" w:rsidRPr="000038FC" w:rsidRDefault="00E26A87">
      <w:pPr>
        <w:spacing w:line="480" w:lineRule="auto"/>
        <w:rPr>
          <w:rFonts w:ascii="Times New Roman" w:hAnsi="Times New Roman"/>
          <w:sz w:val="24"/>
          <w:szCs w:val="24"/>
        </w:rPr>
      </w:pPr>
    </w:p>
    <w:p w:rsidR="000038FC" w:rsidRPr="000038FC" w:rsidRDefault="000038FC">
      <w:pPr>
        <w:spacing w:line="480" w:lineRule="auto"/>
        <w:rPr>
          <w:rFonts w:ascii="Times New Roman" w:hAnsi="Times New Roman"/>
          <w:sz w:val="24"/>
          <w:szCs w:val="24"/>
        </w:rPr>
      </w:pPr>
    </w:p>
    <w:p w:rsidR="000038FC" w:rsidRPr="000038FC" w:rsidRDefault="000038FC">
      <w:pPr>
        <w:spacing w:line="480" w:lineRule="auto"/>
        <w:rPr>
          <w:rFonts w:ascii="Times New Roman" w:hAnsi="Times New Roman"/>
          <w:sz w:val="24"/>
          <w:szCs w:val="24"/>
        </w:rPr>
      </w:pPr>
    </w:p>
    <w:p w:rsidR="000038FC" w:rsidRPr="000038FC" w:rsidRDefault="000038FC">
      <w:pPr>
        <w:spacing w:line="480" w:lineRule="auto"/>
        <w:rPr>
          <w:rFonts w:ascii="Times New Roman" w:hAnsi="Times New Roman"/>
          <w:sz w:val="24"/>
          <w:szCs w:val="24"/>
        </w:rPr>
      </w:pPr>
    </w:p>
    <w:p w:rsidR="000038FC" w:rsidRPr="000038FC" w:rsidRDefault="000038FC">
      <w:pPr>
        <w:spacing w:line="480" w:lineRule="auto"/>
        <w:rPr>
          <w:rFonts w:ascii="Times New Roman" w:hAnsi="Times New Roman"/>
          <w:sz w:val="24"/>
          <w:szCs w:val="24"/>
        </w:rPr>
      </w:pPr>
    </w:p>
    <w:p w:rsidR="00E26A87" w:rsidRPr="000038FC" w:rsidRDefault="000038FC" w:rsidP="000038FC">
      <w:pPr>
        <w:spacing w:line="480" w:lineRule="auto"/>
        <w:ind w:left="720" w:hanging="720"/>
        <w:jc w:val="center"/>
        <w:rPr>
          <w:rFonts w:ascii="Times New Roman" w:hAnsi="Times New Roman"/>
          <w:sz w:val="24"/>
          <w:szCs w:val="24"/>
        </w:rPr>
      </w:pPr>
      <w:r w:rsidRPr="000038FC">
        <w:rPr>
          <w:rFonts w:ascii="Times New Roman" w:hAnsi="Times New Roman"/>
          <w:sz w:val="24"/>
          <w:szCs w:val="24"/>
        </w:rPr>
        <w:t>References</w:t>
      </w:r>
    </w:p>
    <w:p w:rsidR="00E26A87" w:rsidRPr="000038FC" w:rsidRDefault="000038FC" w:rsidP="000038FC">
      <w:pPr>
        <w:spacing w:line="480" w:lineRule="auto"/>
        <w:ind w:left="720" w:hanging="720"/>
        <w:rPr>
          <w:rFonts w:ascii="Times New Roman" w:hAnsi="Times New Roman"/>
          <w:sz w:val="24"/>
          <w:szCs w:val="24"/>
        </w:rPr>
      </w:pPr>
      <w:r w:rsidRPr="000038FC">
        <w:rPr>
          <w:rFonts w:ascii="Times New Roman" w:hAnsi="Times New Roman"/>
          <w:sz w:val="24"/>
          <w:szCs w:val="24"/>
        </w:rPr>
        <w:lastRenderedPageBreak/>
        <w:t xml:space="preserve">https://www.supremecourt.gov/opinion/opinionofthecourt/davidthompsonvhertherhebdon </w:t>
      </w:r>
    </w:p>
    <w:p w:rsidR="00E26A87" w:rsidRPr="000038FC" w:rsidRDefault="000038FC" w:rsidP="000038FC">
      <w:pPr>
        <w:spacing w:line="480" w:lineRule="auto"/>
        <w:ind w:left="720" w:hanging="720"/>
        <w:rPr>
          <w:rFonts w:ascii="Times New Roman" w:hAnsi="Times New Roman"/>
          <w:sz w:val="24"/>
          <w:szCs w:val="24"/>
        </w:rPr>
      </w:pPr>
      <w:r w:rsidRPr="000038FC">
        <w:rPr>
          <w:rFonts w:ascii="Times New Roman" w:hAnsi="Times New Roman"/>
          <w:sz w:val="24"/>
          <w:szCs w:val="24"/>
        </w:rPr>
        <w:t>"Legal Citation Guides/Authorities (U.S. Based)". Harvard Law School Library(2017).Archived from the original on 2018-02-26. Retrieved</w:t>
      </w:r>
      <w:r w:rsidRPr="000038FC">
        <w:rPr>
          <w:rFonts w:ascii="Times New Roman" w:hAnsi="Times New Roman"/>
          <w:sz w:val="24"/>
          <w:szCs w:val="24"/>
        </w:rPr>
        <w:t xml:space="preserve"> 25 February 2018.</w:t>
      </w:r>
    </w:p>
    <w:sectPr w:rsidR="00E26A87" w:rsidRPr="000038FC" w:rsidSect="00E26A87">
      <w:headerReference w:type="default" r:id="rId6"/>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26A87" w:rsidRDefault="00E26A87" w:rsidP="00E26A87">
      <w:pPr>
        <w:spacing w:after="0" w:line="240" w:lineRule="auto"/>
      </w:pPr>
      <w:r>
        <w:separator/>
      </w:r>
    </w:p>
  </w:endnote>
  <w:endnote w:type="continuationSeparator" w:id="0">
    <w:p w:rsidR="00E26A87" w:rsidRDefault="00E26A87" w:rsidP="00E26A8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26A87" w:rsidRDefault="00E26A87" w:rsidP="00E26A87">
      <w:pPr>
        <w:spacing w:after="0" w:line="240" w:lineRule="auto"/>
      </w:pPr>
      <w:r>
        <w:separator/>
      </w:r>
    </w:p>
  </w:footnote>
  <w:footnote w:type="continuationSeparator" w:id="0">
    <w:p w:rsidR="00E26A87" w:rsidRDefault="00E26A87" w:rsidP="00E26A8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6A87" w:rsidRDefault="00E26A87">
    <w:pPr>
      <w:pStyle w:val="Header"/>
      <w:jc w:val="right"/>
      <w:rPr>
        <w:rFonts w:ascii="Times New Roman" w:hAnsi="Times New Roman"/>
        <w:sz w:val="24"/>
        <w:szCs w:val="24"/>
      </w:rPr>
    </w:pPr>
    <w:r>
      <w:rPr>
        <w:rFonts w:ascii="Times New Roman" w:hAnsi="Times New Roman"/>
        <w:sz w:val="24"/>
        <w:szCs w:val="24"/>
      </w:rPr>
      <w:fldChar w:fldCharType="begin"/>
    </w:r>
    <w:r w:rsidR="000038FC">
      <w:rPr>
        <w:rFonts w:ascii="Times New Roman" w:hAnsi="Times New Roman"/>
        <w:sz w:val="24"/>
        <w:szCs w:val="24"/>
      </w:rPr>
      <w:instrText xml:space="preserve"> PAGE   \* MERGEFORMAT </w:instrText>
    </w:r>
    <w:r>
      <w:rPr>
        <w:rFonts w:ascii="Times New Roman" w:hAnsi="Times New Roman"/>
        <w:sz w:val="24"/>
        <w:szCs w:val="24"/>
      </w:rPr>
      <w:fldChar w:fldCharType="separate"/>
    </w:r>
    <w:r w:rsidR="000038FC">
      <w:rPr>
        <w:rFonts w:ascii="Times New Roman" w:hAnsi="Times New Roman"/>
        <w:noProof/>
        <w:sz w:val="24"/>
        <w:szCs w:val="24"/>
      </w:rPr>
      <w:t>2</w:t>
    </w:r>
    <w:r>
      <w:rPr>
        <w:rFonts w:ascii="Times New Roman" w:hAnsi="Times New Roman"/>
        <w:sz w:val="24"/>
        <w:szCs w:val="24"/>
      </w:rPr>
      <w:fldChar w:fldCharType="end"/>
    </w:r>
  </w:p>
  <w:p w:rsidR="00E26A87" w:rsidRDefault="00E26A87">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oNotShadeFormData/>
  <w:characterSpacingControl w:val="doNotCompress"/>
  <w:doNotValidateAgainstSchema/>
  <w:doNotDemarcateInvalidXml/>
  <w:footnotePr>
    <w:footnote w:id="-1"/>
    <w:footnote w:id="0"/>
  </w:footnotePr>
  <w:endnotePr>
    <w:endnote w:id="-1"/>
    <w:endnote w:id="0"/>
  </w:endnotePr>
  <w:compat>
    <w:useFELayout/>
  </w:compat>
  <w:rsids>
    <w:rsidRoot w:val="00E26A87"/>
    <w:rsid w:val="000038FC"/>
    <w:rsid w:val="00E26A8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SimSu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6A87"/>
    <w:pPr>
      <w:spacing w:after="200" w:line="276" w:lineRule="auto"/>
    </w:pPr>
    <w:rPr>
      <w:sz w:val="22"/>
      <w:szCs w:val="22"/>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uiPriority w:val="99"/>
    <w:rsid w:val="00E26A87"/>
  </w:style>
  <w:style w:type="paragraph" w:styleId="Footer">
    <w:name w:val="footer"/>
    <w:basedOn w:val="Normal"/>
    <w:link w:val="FooterChar"/>
    <w:uiPriority w:val="99"/>
    <w:qFormat/>
    <w:rsid w:val="00E26A87"/>
    <w:pPr>
      <w:tabs>
        <w:tab w:val="center" w:pos="4680"/>
        <w:tab w:val="right" w:pos="9360"/>
      </w:tabs>
    </w:pPr>
  </w:style>
  <w:style w:type="paragraph" w:styleId="Header">
    <w:name w:val="header"/>
    <w:basedOn w:val="Normal"/>
    <w:link w:val="HeaderChar"/>
    <w:uiPriority w:val="99"/>
    <w:qFormat/>
    <w:rsid w:val="00E26A87"/>
    <w:pPr>
      <w:tabs>
        <w:tab w:val="center" w:pos="4680"/>
        <w:tab w:val="right" w:pos="9360"/>
      </w:tabs>
    </w:pPr>
  </w:style>
  <w:style w:type="character" w:customStyle="1" w:styleId="HeaderChar">
    <w:name w:val="Header Char"/>
    <w:basedOn w:val="DefaultParagraphFont"/>
    <w:link w:val="Header"/>
    <w:uiPriority w:val="99"/>
    <w:qFormat/>
    <w:rsid w:val="00E26A87"/>
    <w:rPr>
      <w:rFonts w:ascii="Calibri" w:eastAsia="SimSun" w:hAnsi="Calibri" w:cs="Times New Roman"/>
      <w:sz w:val="22"/>
      <w:szCs w:val="22"/>
      <w:lang w:eastAsia="zh-CN"/>
    </w:rPr>
  </w:style>
  <w:style w:type="character" w:customStyle="1" w:styleId="FooterChar">
    <w:name w:val="Footer Char"/>
    <w:basedOn w:val="DefaultParagraphFont"/>
    <w:link w:val="Footer"/>
    <w:uiPriority w:val="99"/>
    <w:qFormat/>
    <w:rsid w:val="00E26A87"/>
    <w:rPr>
      <w:rFonts w:ascii="Calibri" w:eastAsia="SimSun" w:hAnsi="Calibri" w:cs="Times New Roman"/>
      <w:sz w:val="22"/>
      <w:szCs w:val="22"/>
      <w:lang w:eastAsia="zh-CN"/>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382</Words>
  <Characters>2178</Characters>
  <Application>Microsoft Office Word</Application>
  <DocSecurity>0</DocSecurity>
  <Lines>18</Lines>
  <Paragraphs>5</Paragraphs>
  <ScaleCrop>false</ScaleCrop>
  <Company/>
  <LinksUpToDate>false</LinksUpToDate>
  <CharactersWithSpaces>2555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TECNO W2</dc:creator>
  <cp:lastModifiedBy>user</cp:lastModifiedBy>
  <cp:revision>4</cp:revision>
  <dcterms:created xsi:type="dcterms:W3CDTF">2021-09-05T08:16:00Z</dcterms:created>
  <dcterms:modified xsi:type="dcterms:W3CDTF">2021-09-05T08:51:00Z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1033-11.2.0.10094</vt:lpwstr>
  </property>
</Properties>
</file>